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201</w:t>
      </w:r>
      <w:bookmarkStart w:id="0" w:name="_GoBack"/>
      <w:bookmarkEnd w:id="0"/>
      <w:r w:rsidRPr="008F772B">
        <w:rPr>
          <w:b/>
          <w:sz w:val="28"/>
          <w:szCs w:val="28"/>
        </w:rPr>
        <w:t>9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минимизации и устранению рисков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(отсутствие) остаточных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повторного возникновения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рисков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4. Осуществление закупки товаров, работ, услуг у субъектов </w:t>
            </w:r>
            <w:r w:rsidRPr="00A657F7">
              <w:rPr>
                <w:color w:val="000000"/>
              </w:rPr>
              <w:lastRenderedPageBreak/>
              <w:t>малого предпринимательства в 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контрактного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4. Усиление контроля за подготовкой документаций о закупке товаров, работ и услуг при согласовании.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5.Дополнительное профессиональное образование </w:t>
            </w:r>
            <w:r w:rsidR="00A657F7" w:rsidRPr="00A657F7">
              <w:t>контрактного управляющего (членов единой комиссии)</w:t>
            </w:r>
            <w:r w:rsidRPr="00A657F7">
              <w:t>, участие в семинарах или иных формах деятельности в сфере за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принятие нормативных правовых актов в сфере рыболовства и сохранения водных биологических ресурсов</w:t>
            </w:r>
            <w:r w:rsidR="00E9168A">
              <w:t>, содержащих признаки нарушения антимонопольного законодательства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определения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правоприменительной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подготовки ответственных со</w:t>
            </w:r>
            <w:r>
              <w:lastRenderedPageBreak/>
              <w:t>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регулированию добычи (вылова) водных биоресурсов в Камчатском крае,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 xml:space="preserve">1.Несоблюдение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 xml:space="preserve">2.Влияние коллегиального голосования уполномоченных членов комиссии (не из числа сотрудников Министерства) на принятие решения.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2.Анализ жалоб, поступающих в Министерство на решения </w:t>
            </w:r>
            <w:r w:rsidRPr="00A657F7">
              <w:t>комиссии по регулированию добычи (вылова) водных биоресурсов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контроля за полнотой и своевременностью поступления в комиссию </w:t>
            </w:r>
            <w:r w:rsidRPr="00A657F7">
              <w:t>по регулированию добычи (вылова) водных биоресурсов в Камчатском крае</w:t>
            </w:r>
            <w:r>
              <w:t xml:space="preserve"> необходимых документов для рассмотрения и принятия решения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законодательства, регулирующего порядок предоставления государ</w:t>
            </w:r>
            <w:r>
              <w:lastRenderedPageBreak/>
              <w:t>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1.Анализ правоприменительной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3.Соблюдение административных процедур, установленных административными регламентами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конкурса на право заключения договора пользования рыболовным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  <w:szCs w:val="22"/>
              </w:rPr>
              <w:t>постановление Правительства РФ от 14.04.2008 N 264.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2.Несовершенство законодательства (постановления Правительства РФ от 14.04.2008 N 264),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оценки и сопоставления заявок на участие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ответственных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конкурса, установленных федеральным законодательством.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 xml:space="preserve">Постановление Правительства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ответственными сотрудниками контроля за проверкой представляемых на конкурс документов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Default="008F772B" w:rsidP="008F7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E0468C" w:rsidRDefault="0029029A" w:rsidP="002902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C074B">
        <w:rPr>
          <w:b/>
          <w:bCs/>
          <w:sz w:val="28"/>
          <w:szCs w:val="28"/>
        </w:rPr>
        <w:t xml:space="preserve">ероприятий  </w:t>
      </w:r>
      <w:r>
        <w:rPr>
          <w:b/>
          <w:bCs/>
          <w:sz w:val="28"/>
          <w:szCs w:val="28"/>
        </w:rPr>
        <w:t xml:space="preserve">(«дорожная карта») </w:t>
      </w:r>
    </w:p>
    <w:p w:rsidR="008F772B" w:rsidRDefault="00FC074B" w:rsidP="00E046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</w:t>
      </w:r>
      <w:r w:rsidR="0029029A">
        <w:rPr>
          <w:b/>
          <w:bCs/>
          <w:sz w:val="28"/>
          <w:szCs w:val="28"/>
        </w:rPr>
        <w:t xml:space="preserve">ушения антимонопольного законодательства </w:t>
      </w:r>
      <w:r w:rsidR="00E0468C">
        <w:rPr>
          <w:b/>
          <w:bCs/>
          <w:sz w:val="28"/>
          <w:szCs w:val="28"/>
        </w:rPr>
        <w:t>в</w:t>
      </w:r>
      <w:r w:rsidR="008F772B">
        <w:rPr>
          <w:b/>
          <w:bCs/>
          <w:sz w:val="28"/>
          <w:szCs w:val="28"/>
        </w:rPr>
        <w:t xml:space="preserve"> 2019 </w:t>
      </w:r>
      <w:r w:rsidR="00E0468C">
        <w:rPr>
          <w:b/>
          <w:bCs/>
          <w:sz w:val="28"/>
          <w:szCs w:val="28"/>
        </w:rPr>
        <w:t>году</w:t>
      </w:r>
    </w:p>
    <w:p w:rsidR="008F772B" w:rsidRDefault="008F772B" w:rsidP="008F7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29029A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29029A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0468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01.06.2019</w:t>
            </w:r>
          </w:p>
        </w:tc>
      </w:tr>
      <w:tr w:rsidR="00E0468C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проектов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</w:t>
            </w:r>
            <w:r>
              <w:rPr>
                <w:sz w:val="28"/>
                <w:szCs w:val="28"/>
              </w:rPr>
              <w:lastRenderedPageBreak/>
              <w:t>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 w:rsidP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карты рисков и плана мероприятий по снижению рисков нарушения антимонопольного законодательства в </w:t>
            </w:r>
            <w:r w:rsidR="0029029A">
              <w:rPr>
                <w:sz w:val="28"/>
                <w:szCs w:val="28"/>
              </w:rPr>
              <w:t xml:space="preserve">Министерстве рыбного хозяйства Камчатского края </w:t>
            </w:r>
            <w:r>
              <w:rPr>
                <w:sz w:val="28"/>
                <w:szCs w:val="28"/>
              </w:rPr>
              <w:t>на 20</w:t>
            </w:r>
            <w:r w:rsidR="0059095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9A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952">
              <w:rPr>
                <w:sz w:val="28"/>
                <w:szCs w:val="28"/>
              </w:rPr>
              <w:t>01.10</w:t>
            </w:r>
            <w:r>
              <w:rPr>
                <w:sz w:val="28"/>
                <w:szCs w:val="28"/>
              </w:rPr>
              <w:t>.2019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29029A" w:rsidP="00290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  <w:r w:rsidR="008F772B">
              <w:rPr>
                <w:sz w:val="28"/>
                <w:szCs w:val="28"/>
              </w:rPr>
              <w:t xml:space="preserve">2019 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590952">
              <w:rPr>
                <w:sz w:val="28"/>
                <w:szCs w:val="28"/>
              </w:rPr>
              <w:t>на официальном сайте исполнительных органов государственной власти Камчатского края на странице Министерства в сети Интернет</w:t>
            </w:r>
            <w:r>
              <w:rPr>
                <w:sz w:val="28"/>
                <w:szCs w:val="28"/>
              </w:rPr>
              <w:t xml:space="preserve">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772B">
              <w:rPr>
                <w:sz w:val="28"/>
                <w:szCs w:val="28"/>
              </w:rPr>
              <w:t>екабрь 2019 г.</w:t>
            </w:r>
          </w:p>
        </w:tc>
      </w:tr>
      <w:tr w:rsidR="008F772B" w:rsidTr="008F772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F772B">
              <w:rPr>
                <w:sz w:val="28"/>
                <w:szCs w:val="28"/>
              </w:rPr>
              <w:t xml:space="preserve"> обучающих мероприяти</w:t>
            </w:r>
            <w:r>
              <w:rPr>
                <w:sz w:val="28"/>
                <w:szCs w:val="28"/>
              </w:rPr>
              <w:t>ях</w:t>
            </w:r>
            <w:r w:rsidR="008F772B">
              <w:rPr>
                <w:sz w:val="28"/>
                <w:szCs w:val="28"/>
              </w:rPr>
              <w:t xml:space="preserve"> по антимонопольному законодательству и антимонопольному </w:t>
            </w:r>
            <w:proofErr w:type="spellStart"/>
            <w:r w:rsidR="008F772B"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C" w:rsidRDefault="00E0468C" w:rsidP="00E046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отдела правового обеспечения и отдел экономики и аналитики</w:t>
            </w:r>
          </w:p>
          <w:p w:rsidR="008F772B" w:rsidRDefault="008F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B" w:rsidRDefault="0059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772B">
              <w:rPr>
                <w:sz w:val="28"/>
                <w:szCs w:val="28"/>
              </w:rPr>
              <w:t xml:space="preserve"> течение года</w:t>
            </w:r>
          </w:p>
        </w:tc>
      </w:tr>
    </w:tbl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E0468C"/>
    <w:rsid w:val="00E9168A"/>
    <w:rsid w:val="00ED443F"/>
    <w:rsid w:val="00F348E8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31EAB-AAE6-47C6-84AD-21E88DC3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C47E-8B9B-48E1-A979-3F174A76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cp:lastPrinted>2020-01-29T03:57:00Z</cp:lastPrinted>
  <dcterms:created xsi:type="dcterms:W3CDTF">2020-01-31T00:13:00Z</dcterms:created>
  <dcterms:modified xsi:type="dcterms:W3CDTF">2020-01-31T00:13:00Z</dcterms:modified>
</cp:coreProperties>
</file>