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ind/>
        <w:jc w:val="center"/>
        <w:outlineLvl w:val="0"/>
        <w:rPr>
          <w:b w:val="1"/>
          <w:sz w:val="30"/>
        </w:rPr>
      </w:pPr>
      <w:r>
        <w:rPr>
          <w:b w:val="1"/>
          <w:sz w:val="30"/>
        </w:rPr>
        <w:t>УВЕДОМЛЕНИЕ</w:t>
      </w:r>
    </w:p>
    <w:p w14:paraId="06000000">
      <w:pPr>
        <w:widowControl w:val="0"/>
        <w:ind w:right="-2"/>
        <w:jc w:val="both"/>
      </w:pPr>
      <w:r>
        <w:t>Министерство рыбного хозяйства Камчатского края уведомляет о проведении общественных обсуждений по объектам государственной экологической экспертизы по документации:</w:t>
      </w:r>
    </w:p>
    <w:p w14:paraId="07000000">
      <w:pPr>
        <w:ind w:right="-1"/>
        <w:jc w:val="both"/>
      </w:pPr>
      <w:r>
        <w:t>1.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2. Рыбы Дальневосточных морей»;</w:t>
      </w:r>
    </w:p>
    <w:p w14:paraId="08000000">
      <w:pPr>
        <w:ind w:right="-1"/>
        <w:jc w:val="both"/>
      </w:pPr>
      <w:r>
        <w:t>2.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3. Беспозвоночные животные и водоросли»;</w:t>
      </w:r>
    </w:p>
    <w:p w14:paraId="09000000">
      <w:pPr>
        <w:widowControl w:val="0"/>
        <w:ind w:right="-284"/>
        <w:jc w:val="both"/>
      </w:pPr>
      <w:r>
        <w:t>3.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4. Морские млекопитающие»;</w:t>
      </w:r>
    </w:p>
    <w:p w14:paraId="0A000000">
      <w:pPr>
        <w:widowControl w:val="0"/>
        <w:ind w:right="-284"/>
        <w:jc w:val="both"/>
      </w:pPr>
      <w:r>
        <w:t xml:space="preserve">4. </w:t>
      </w:r>
      <w:r>
        <w:t>«Материалы, обосновывающие внесение изменений в ранее утверждённый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среду)».</w:t>
      </w:r>
    </w:p>
    <w:p w14:paraId="0B000000">
      <w:pPr>
        <w:widowControl w:val="0"/>
        <w:ind w:right="-284"/>
        <w:jc w:val="both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39"/>
        <w:gridCol w:w="7326"/>
      </w:tblGrid>
      <w:t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Заказчик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ind/>
              <w:jc w:val="both"/>
            </w:pPr>
            <w:r>
              <w:t>Федеральное агентство по рыболовству (</w:t>
            </w:r>
            <w:r>
              <w:t>Росрыболовство</w:t>
            </w:r>
            <w:r>
              <w:t>):</w:t>
            </w:r>
            <w:r>
              <w:br/>
            </w:r>
            <w:r>
              <w:t>ОГРН 1087746846274, ИНН 7702679523;</w:t>
            </w:r>
          </w:p>
          <w:p w14:paraId="0E000000">
            <w:pPr>
              <w:ind/>
              <w:jc w:val="both"/>
            </w:pPr>
            <w:r>
              <w:t>107996, г. Москва, Рождественский бульвар, д. 12;</w:t>
            </w:r>
          </w:p>
          <w:p w14:paraId="0F000000">
            <w:pPr>
              <w:spacing w:after="120"/>
              <w:ind/>
              <w:jc w:val="both"/>
            </w:pPr>
            <w:r>
              <w:t>тел.: </w:t>
            </w:r>
            <w:r>
              <w:fldChar w:fldCharType="begin"/>
            </w:r>
            <w:r>
              <w:instrText>HYPERLINK "tel:"</w:instrText>
            </w:r>
            <w:r>
              <w:fldChar w:fldCharType="separate"/>
            </w:r>
            <w:r>
              <w:t>+7 (495) 6287700</w:t>
            </w:r>
            <w:r>
              <w:fldChar w:fldCharType="end"/>
            </w:r>
            <w:r>
              <w:t>, факс: +7 (495) 9870554, 8 (495) 6281904,</w:t>
            </w:r>
            <w:r>
              <w:br/>
            </w:r>
            <w:r>
              <w:t>e-mail</w:t>
            </w:r>
            <w:r>
              <w:t xml:space="preserve">: </w:t>
            </w:r>
            <w:r>
              <w:fldChar w:fldCharType="begin"/>
            </w:r>
            <w:r>
              <w:instrText>HYPERLINK "mailto:harbour@fishcom.ru"</w:instrText>
            </w:r>
            <w:r>
              <w:fldChar w:fldCharType="separate"/>
            </w:r>
            <w:r>
              <w:t>harbour@fishcom.ru</w:t>
            </w:r>
            <w:r>
              <w:fldChar w:fldCharType="end"/>
            </w:r>
          </w:p>
        </w:tc>
      </w:tr>
      <w:t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Представитель заказчика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both"/>
            </w:pPr>
            <w:r>
              <w:t>Северо-Восточное территориальное управление Росрыболовства: ОГРН 1094101000058, ИНН 4101128090;</w:t>
            </w:r>
          </w:p>
          <w:p w14:paraId="12000000">
            <w:pPr>
              <w:ind/>
              <w:jc w:val="both"/>
            </w:pPr>
            <w:r>
              <w:t xml:space="preserve">683009, г. Петропавловск-Камчатский, ул. Академика Королёва, д. 58; тел.: 8 (4152) 235801, </w:t>
            </w:r>
            <w:r>
              <w:t>e-mail</w:t>
            </w:r>
            <w:r>
              <w:t xml:space="preserve">: </w:t>
            </w:r>
            <w:r>
              <w:fldChar w:fldCharType="begin"/>
            </w:r>
            <w:r>
              <w:instrText>HYPERLINK "mailto:svrybolovstvo@terkamfish.ru"</w:instrText>
            </w:r>
            <w:r>
              <w:fldChar w:fldCharType="separate"/>
            </w:r>
            <w:r>
              <w:t>svrybolovstvo@terkamfish.ru</w:t>
            </w:r>
            <w:r>
              <w:fldChar w:fldCharType="end"/>
            </w:r>
          </w:p>
        </w:tc>
      </w:tr>
      <w:t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widowControl w:val="0"/>
              <w:ind/>
              <w:rPr>
                <w:b w:val="1"/>
              </w:rPr>
            </w:pPr>
            <w:r>
              <w:rPr>
                <w:b w:val="1"/>
              </w:rPr>
              <w:t>Исполнитель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widowControl w:val="0"/>
              <w:ind/>
              <w:contextualSpacing w:val="1"/>
              <w:jc w:val="both"/>
            </w:pPr>
            <w:r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      </w:r>
            <w:r>
              <w:t>:</w:t>
            </w:r>
          </w:p>
          <w:p w14:paraId="15000000">
            <w:pPr>
              <w:widowControl w:val="0"/>
              <w:ind/>
              <w:contextualSpacing w:val="1"/>
              <w:jc w:val="both"/>
            </w:pPr>
            <w:r>
              <w:t>ОГРН 1157746053431, ИНН 7708245723;</w:t>
            </w:r>
          </w:p>
          <w:p w14:paraId="16000000">
            <w:pPr>
              <w:widowControl w:val="0"/>
              <w:ind/>
              <w:contextualSpacing w:val="1"/>
              <w:jc w:val="both"/>
            </w:pPr>
            <w:r>
              <w:t xml:space="preserve">105187, г. Москва, Окружной проезд, дом 19, тел.: </w:t>
            </w:r>
            <w:r>
              <w:rPr>
                <w:color w:val="131415"/>
              </w:rPr>
              <w:t>+7 (499) 2649387;</w:t>
            </w:r>
          </w:p>
          <w:p w14:paraId="17000000">
            <w:pPr>
              <w:ind/>
              <w:jc w:val="both"/>
            </w:pPr>
            <w:r>
              <w:t>ФГБНУ «ВНИРО» (Камчатский филиал):</w:t>
            </w:r>
          </w:p>
          <w:p w14:paraId="18000000">
            <w:pPr>
              <w:ind/>
              <w:jc w:val="both"/>
            </w:pPr>
            <w:r>
              <w:t>ОГРН</w:t>
            </w:r>
            <w:r>
              <w:t xml:space="preserve"> 1157746053431, ИНН 7708245723;</w:t>
            </w:r>
          </w:p>
          <w:p w14:paraId="19000000">
            <w:pPr>
              <w:ind/>
              <w:jc w:val="both"/>
              <w:rPr>
                <w:strike w:val="1"/>
              </w:rPr>
            </w:pPr>
            <w:r>
              <w:t>683000, г. Петропавловск-Камчатский, ул. Набережная, д. 18</w:t>
            </w:r>
            <w:r>
              <w:t>;</w:t>
            </w:r>
            <w:r>
              <w:t xml:space="preserve"> тел.: </w:t>
            </w:r>
            <w:r>
              <w:t>+7</w:t>
            </w:r>
            <w:r>
              <w:t xml:space="preserve"> (4152) 412701, </w:t>
            </w:r>
            <w:r>
              <w:t>e-mail</w:t>
            </w:r>
            <w:r>
              <w:t xml:space="preserve">: </w:t>
            </w:r>
            <w:r>
              <w:fldChar w:fldCharType="begin"/>
            </w:r>
            <w:r>
              <w:instrText>HYPERLINK "mailto:kamniro@vniro.ru"</w:instrText>
            </w:r>
            <w:r>
              <w:fldChar w:fldCharType="separate"/>
            </w:r>
            <w:r>
              <w:t>kamniro@vniro.ru</w:t>
            </w:r>
            <w:r>
              <w:fldChar w:fldCharType="end"/>
            </w:r>
          </w:p>
        </w:tc>
      </w:tr>
      <w:t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 xml:space="preserve">Наименование уполномоченного органа, ответственного за проведение </w:t>
            </w:r>
            <w:r>
              <w:rPr>
                <w:b w:val="1"/>
              </w:rPr>
              <w:t>общественных обсуждений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ind/>
              <w:jc w:val="both"/>
            </w:pPr>
            <w:r>
              <w:t>Министерство рыбного хозяйства Камчатского края (Минрыбхоз Камчатского края):</w:t>
            </w:r>
          </w:p>
          <w:p w14:paraId="1C000000">
            <w:pPr>
              <w:ind/>
              <w:jc w:val="both"/>
              <w:rPr>
                <w:highlight w:val="yellow"/>
              </w:rPr>
            </w:pPr>
            <w:r>
              <w:t xml:space="preserve">683040, Камчатский край, </w:t>
            </w:r>
            <w:r>
              <w:t>г</w:t>
            </w:r>
            <w:r>
              <w:t xml:space="preserve">. Петропавловск-Камчатский, пл. Ленина, д. 1, тел. +7(4152) 421037, </w:t>
            </w:r>
            <w:r>
              <w:t>e-mail</w:t>
            </w:r>
            <w:r>
              <w:t>: f</w:t>
            </w:r>
            <w:r>
              <w:fldChar w:fldCharType="begin"/>
            </w:r>
            <w:r>
              <w:instrText>HYPERLINK "mailto:fish@kamgov.ru"</w:instrText>
            </w:r>
            <w:r>
              <w:fldChar w:fldCharType="separate"/>
            </w:r>
            <w:r>
              <w:t>ish@kamgov.ru</w:t>
            </w:r>
            <w:r>
              <w:fldChar w:fldCharType="end"/>
            </w:r>
          </w:p>
          <w:p w14:paraId="1D000000">
            <w:pPr>
              <w:ind/>
              <w:jc w:val="both"/>
            </w:pPr>
            <w:r>
              <w:t xml:space="preserve">Контактное лицо: Василенко Ирина Васильевна, </w:t>
            </w:r>
            <w:r>
              <w:t>тел.: 8 (4152) 421037 (</w:t>
            </w:r>
            <w:r>
              <w:t>доб</w:t>
            </w:r>
            <w:r>
              <w:t xml:space="preserve">. 2231), </w:t>
            </w:r>
            <w:r>
              <w:t>e-mail</w:t>
            </w:r>
            <w:r>
              <w:t>:</w:t>
            </w:r>
            <w:r>
              <w:t xml:space="preserve"> </w:t>
            </w:r>
            <w:r>
              <w:t>v</w:t>
            </w:r>
            <w:r>
              <w:t>asilenko</w:t>
            </w:r>
            <w:r>
              <w:t>iv</w:t>
            </w:r>
            <w:r>
              <w:t>@</w:t>
            </w:r>
            <w:r>
              <w:t>kamgov.ru</w:t>
            </w:r>
          </w:p>
        </w:tc>
      </w:tr>
      <w:t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Наименование объектов общественных обсуждений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numPr>
                <w:ilvl w:val="0"/>
                <w:numId w:val="1"/>
              </w:numPr>
              <w:tabs>
                <w:tab w:leader="none" w:pos="271" w:val="left"/>
                <w:tab w:leader="none" w:pos="720" w:val="clear"/>
              </w:tabs>
              <w:ind w:firstLine="0" w:left="0"/>
              <w:jc w:val="both"/>
            </w:pPr>
            <w:r>
              <w:rPr>
                <w:i w:val="1"/>
              </w:rPr>
              <w:t>«</w:t>
            </w:r>
            <w:r>
      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 2. Рыбы Дальневосточных морей»;</w:t>
            </w:r>
          </w:p>
          <w:p w14:paraId="20000000">
            <w:pPr>
              <w:numPr>
                <w:ilvl w:val="0"/>
                <w:numId w:val="1"/>
              </w:numPr>
              <w:tabs>
                <w:tab w:leader="none" w:pos="271" w:val="left"/>
                <w:tab w:leader="none" w:pos="720" w:val="clear"/>
              </w:tabs>
              <w:ind w:firstLine="0" w:left="0"/>
              <w:jc w:val="both"/>
            </w:pPr>
            <w:r>
      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3. Беспозвоночные животные и водоросли»;</w:t>
            </w:r>
          </w:p>
          <w:p w14:paraId="21000000">
            <w:pPr>
              <w:numPr>
                <w:ilvl w:val="0"/>
                <w:numId w:val="1"/>
              </w:numPr>
              <w:tabs>
                <w:tab w:leader="none" w:pos="271" w:val="left"/>
                <w:tab w:leader="none" w:pos="720" w:val="clear"/>
              </w:tabs>
              <w:ind w:firstLine="0" w:left="0"/>
              <w:jc w:val="both"/>
            </w:pPr>
            <w:r>
      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4. Морские млекопитающие»;</w:t>
            </w:r>
          </w:p>
          <w:p w14:paraId="22000000">
            <w:pPr>
              <w:numPr>
                <w:ilvl w:val="0"/>
                <w:numId w:val="1"/>
              </w:numPr>
              <w:tabs>
                <w:tab w:leader="none" w:pos="271" w:val="left"/>
                <w:tab w:leader="none" w:pos="720" w:val="clear"/>
              </w:tabs>
              <w:ind w:firstLine="0" w:left="0"/>
              <w:jc w:val="both"/>
            </w:pPr>
            <w:r>
              <w:t>«Материалы, обосновывающие внесение изменений в ранее утверждённый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>
              <w:t>5</w:t>
            </w:r>
            <w:r>
              <w:t xml:space="preserve"> год (с оценкой воздействия на окружающую среду)».</w:t>
            </w:r>
          </w:p>
        </w:tc>
      </w:tr>
      <w:t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Наименование планируемой деятельности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0"/>
              <w:spacing w:before="120"/>
              <w:ind/>
              <w:jc w:val="both"/>
            </w:pPr>
            <w:r>
              <w:t>Обоснование общего допустимого улова водных биологических ресурсов</w:t>
            </w:r>
          </w:p>
        </w:tc>
      </w:tr>
      <w:tr>
        <w:trPr>
          <w:trHeight w:hRule="atLeast" w:val="139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Цель планируемой деятельности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0"/>
              <w:spacing w:before="120"/>
              <w:ind/>
              <w:jc w:val="both"/>
            </w:pPr>
            <w:r>
              <w:t xml:space="preserve"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«О рыболовстве и сохранении водных биологических ресурсов»): во внутренних морских водах Российской Федерации, в территориальном море Российской Федерации, на континентальном </w:t>
            </w:r>
            <w:r>
              <w:t>шельфе Российской Федерации, в исключительной экономической зоне Российской Федерации и Каспийском море на 2026 год</w:t>
            </w:r>
            <w:r>
              <w:t xml:space="preserve"> и на</w:t>
            </w:r>
            <w:r>
              <w:t xml:space="preserve"> 2025 год (обоснование изменений в ранее утверждённый общий допустимый улов)</w:t>
            </w:r>
            <w:r>
              <w:t>.</w:t>
            </w:r>
          </w:p>
        </w:tc>
      </w:tr>
      <w:tr>
        <w:trPr>
          <w:trHeight w:hRule="atLeast" w:val="27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Предварительное место реализации планируемой деятельности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0"/>
              <w:ind/>
              <w:jc w:val="both"/>
            </w:pPr>
            <w:r>
              <w:t xml:space="preserve">Морские воды Российской Федерации (Федеральный закон от 20.12.2004 № 166-ФЗ «О рыболовстве и сохранении водных биологических ресурсов»):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</w:t>
            </w:r>
            <w:r>
              <w:t>Каспийском море</w:t>
            </w:r>
            <w:r>
              <w:t xml:space="preserve"> на </w:t>
            </w:r>
            <w:r>
              <w:t>2025</w:t>
            </w:r>
            <w:r>
              <w:t xml:space="preserve">–2026 </w:t>
            </w:r>
            <w:r>
              <w:t>гг</w:t>
            </w:r>
            <w:r>
              <w:t>.</w:t>
            </w:r>
          </w:p>
        </w:tc>
      </w:tr>
      <w:tr>
        <w:trPr>
          <w:trHeight w:hRule="atLeast" w:val="139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ind/>
              <w:jc w:val="both"/>
            </w:pPr>
            <w:r>
              <w:t xml:space="preserve">Северо-Восточное территориальное управление Росрыболовства: </w:t>
            </w:r>
          </w:p>
          <w:p w14:paraId="2B000000">
            <w:pPr>
              <w:spacing w:after="120"/>
              <w:ind/>
              <w:jc w:val="both"/>
            </w:pPr>
            <w:r>
              <w:t xml:space="preserve">Контактное лицо: Татаринов Юрий Александрович, тел.: +7 (4152) 235801, </w:t>
            </w:r>
            <w:r>
              <w:t>e-mail</w:t>
            </w:r>
            <w:r>
              <w:t xml:space="preserve">: </w:t>
            </w:r>
            <w:r>
              <w:fldChar w:fldCharType="begin"/>
            </w:r>
            <w:r>
              <w:instrText>HYPERLINK "mailto:svrybolovstvo@terkamfish.ru"</w:instrText>
            </w:r>
            <w:r>
              <w:fldChar w:fldCharType="separate"/>
            </w:r>
            <w:r>
              <w:t>svrybolovstvo@terkamfish.ru</w:t>
            </w:r>
            <w:r>
              <w:fldChar w:fldCharType="end"/>
            </w:r>
          </w:p>
          <w:p w14:paraId="2C000000">
            <w:pPr>
              <w:ind/>
              <w:jc w:val="both"/>
            </w:pPr>
            <w:r>
              <w:t>ФГБНУ «ВНИРО» (</w:t>
            </w:r>
            <w:r>
              <w:t>Камчатский филиал</w:t>
            </w:r>
            <w:r>
              <w:t>):</w:t>
            </w:r>
          </w:p>
          <w:p w14:paraId="2D000000">
            <w:pPr>
              <w:widowControl w:val="0"/>
              <w:ind/>
              <w:contextualSpacing w:val="1"/>
              <w:jc w:val="both"/>
            </w:pPr>
            <w:r>
              <w:t xml:space="preserve">Контактное лицо: Варкентин Александр Иванович, тел.: +7 (4152) 412797, </w:t>
            </w:r>
            <w:r>
              <w:t>e-mail</w:t>
            </w:r>
            <w:r>
              <w:t>: a.varkentin@kamniro.vniro.ru</w:t>
            </w:r>
          </w:p>
        </w:tc>
      </w:tr>
      <w:tr>
        <w:trPr>
          <w:trHeight w:hRule="atLeast" w:val="699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Место очного ознакомления с объектами общественных обсуждений, дата открытия доступа, срок доступности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both"/>
            </w:pPr>
            <w:r>
              <w:t>Министерство рыбного хозяйства Камчатского края:</w:t>
            </w:r>
          </w:p>
          <w:p w14:paraId="30000000">
            <w:pPr>
              <w:ind/>
              <w:jc w:val="both"/>
            </w:pPr>
            <w:r>
              <w:t xml:space="preserve">683040, Камчатский край, г. Петропавловск-Камчатский, пл. Ленина, д. 1, тел., факс: +7 (4152) 421037, </w:t>
            </w:r>
            <w:r>
              <w:t>e-mail</w:t>
            </w:r>
            <w:r>
              <w:t xml:space="preserve">: </w:t>
            </w:r>
            <w:r>
              <w:t>f</w:t>
            </w:r>
            <w:r>
              <w:fldChar w:fldCharType="begin"/>
            </w:r>
            <w:r>
              <w:instrText>HYPERLINK "mailto:fish@kamgov.ru"</w:instrText>
            </w:r>
            <w:r>
              <w:fldChar w:fldCharType="separate"/>
            </w:r>
            <w:r>
              <w:t>ish@kamgov.ru</w:t>
            </w:r>
            <w:r>
              <w:fldChar w:fldCharType="end"/>
            </w:r>
            <w:r>
              <w:t>, с 2</w:t>
            </w:r>
            <w:r>
              <w:t>7</w:t>
            </w:r>
            <w:r>
              <w:t xml:space="preserve"> марта по 2</w:t>
            </w:r>
            <w:r>
              <w:t>5</w:t>
            </w:r>
            <w:r>
              <w:t> апреля 2025 г., с понедельника по четверг, с 09.00 до 17.15 (время обеда с 12.15 до 13.03), в пятницу с 9.00 до 16.00 (время обеда с 12.15 до 13.03)</w:t>
            </w:r>
          </w:p>
        </w:tc>
      </w:tr>
      <w:tr>
        <w:trPr>
          <w:trHeight w:hRule="atLeast" w:val="141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Информации о размещении объектов общественных обсуждений в сети «Интернет»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before="120"/>
              <w:ind/>
              <w:jc w:val="both"/>
            </w:pPr>
            <w:r>
              <w:t>Официальный сайт Министерства рыбного хозяйства Камчатского края:</w:t>
            </w:r>
            <w:r>
              <w:t xml:space="preserve"> </w:t>
            </w:r>
            <w:r>
              <w:t>https://kamgov.ru/minfish</w:t>
            </w:r>
          </w:p>
          <w:p w14:paraId="33000000">
            <w:pPr>
              <w:spacing w:before="120"/>
              <w:ind/>
              <w:jc w:val="both"/>
            </w:pPr>
            <w:r>
              <w:t>О</w:t>
            </w:r>
            <w:r>
              <w:t>фициальный сайт ФГБНУ «ВНИРО» (Камчатский филиал</w:t>
            </w:r>
            <w:r>
              <w:t>): http://kamniro.vniro.ru/</w:t>
            </w:r>
          </w:p>
        </w:tc>
      </w:tr>
      <w:tr>
        <w:trPr>
          <w:trHeight w:hRule="atLeast" w:val="141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Дата размещения объектов общественных обсуждений в сети «Интернет»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0"/>
              <w:spacing w:before="120"/>
              <w:ind/>
              <w:jc w:val="both"/>
              <w:rPr>
                <w:highlight w:val="green"/>
              </w:rPr>
            </w:pPr>
            <w:r>
              <w:t>2</w:t>
            </w:r>
            <w:r>
              <w:t>7</w:t>
            </w:r>
            <w:r>
              <w:t>.03.2025 г.</w:t>
            </w:r>
          </w:p>
        </w:tc>
      </w:tr>
      <w:tr>
        <w:trPr>
          <w:trHeight w:hRule="atLeast" w:val="141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Срок размещения объектов общественных обсуждений в сети «Интернет»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0"/>
              <w:spacing w:before="120"/>
              <w:ind/>
              <w:jc w:val="both"/>
              <w:rPr>
                <w:highlight w:val="green"/>
              </w:rPr>
            </w:pPr>
            <w:r>
              <w:t>с 2</w:t>
            </w:r>
            <w:r>
              <w:t>7</w:t>
            </w:r>
            <w:r>
              <w:t>.03.2025 г. до 2</w:t>
            </w:r>
            <w:r>
              <w:t>5</w:t>
            </w:r>
            <w:r>
              <w:t>.04.2025 г.</w:t>
            </w:r>
          </w:p>
        </w:tc>
      </w:tr>
      <w:tr>
        <w:trPr>
          <w:trHeight w:hRule="atLeast" w:val="141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widowControl w:val="0"/>
              <w:spacing w:before="120"/>
              <w:ind/>
              <w:rPr>
                <w:b w:val="1"/>
                <w:strike w:val="1"/>
                <w:highlight w:val="yellow"/>
              </w:rPr>
            </w:pPr>
            <w:r>
              <w:rPr>
                <w:b w:val="1"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before="120"/>
              <w:ind/>
              <w:jc w:val="both"/>
              <w:rPr>
                <w:strike w:val="1"/>
                <w:highlight w:val="yellow"/>
              </w:rPr>
            </w:pPr>
            <w:r>
              <w:t>Проведение слушаний может быть инициировано гражданами в течени</w:t>
            </w:r>
            <w:r>
              <w:t>е</w:t>
            </w:r>
            <w:r>
              <w:t xml:space="preserve"> 7 календарных дней </w:t>
            </w:r>
            <w:r>
              <w:t>с даты размещения</w:t>
            </w:r>
            <w:r>
              <w:t xml:space="preserve"> заказчиком (исполнителем) для ознакомления общественности объектов общественных обсуждений путем направления в </w:t>
            </w:r>
            <w:r>
              <w:t>письменной или электронной форме</w:t>
            </w:r>
            <w:r>
              <w:t xml:space="preserve"> в адрес Министерства рыбного хозяйства Камчатского края соответствующей инициативы в произвольной форме.</w:t>
            </w:r>
          </w:p>
        </w:tc>
      </w:tr>
      <w:tr>
        <w:trPr>
          <w:trHeight w:hRule="atLeast" w:val="1414"/>
        </w:trPr>
        <w:tc>
          <w:tcPr>
            <w:tcW w:type="dxa" w:w="2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0"/>
              <w:spacing w:before="120"/>
              <w:ind/>
              <w:rPr>
                <w:b w:val="1"/>
              </w:rPr>
            </w:pPr>
            <w:r>
              <w:rPr>
                <w:b w:val="1"/>
              </w:rPr>
              <w:t>Способ направления замечаний и предложений</w:t>
            </w:r>
          </w:p>
        </w:tc>
        <w:tc>
          <w:tcPr>
            <w:tcW w:type="dxa" w:w="7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both"/>
            </w:pPr>
            <w:r>
              <w:t xml:space="preserve">Предложения и замечания в формате опросных листов (форма размещена на официальном сайте Министерства рыбного хозяйства Камчатского края: </w:t>
            </w:r>
            <w:r>
              <w:rPr>
                <w:rStyle w:val="Style_4_ch"/>
              </w:rPr>
              <w:fldChar w:fldCharType="begin"/>
            </w:r>
            <w:r>
              <w:rPr>
                <w:rStyle w:val="Style_4_ch"/>
              </w:rPr>
              <w:instrText>HYPERLINK "https://kamgov.ru/minfish"</w:instrText>
            </w:r>
            <w:r>
              <w:rPr>
                <w:rStyle w:val="Style_4_ch"/>
              </w:rPr>
              <w:fldChar w:fldCharType="separate"/>
            </w:r>
            <w:r>
              <w:rPr>
                <w:rStyle w:val="Style_4_ch"/>
              </w:rPr>
              <w:t>https://kamgov.ru/minfish</w:t>
            </w:r>
            <w:r>
              <w:rPr>
                <w:rStyle w:val="Style_4_ch"/>
              </w:rPr>
              <w:fldChar w:fldCharType="end"/>
            </w:r>
            <w:r>
              <w:t xml:space="preserve"> </w:t>
            </w:r>
            <w:r>
              <w:t xml:space="preserve">– </w:t>
            </w:r>
            <w:r>
              <w:t>отдельно</w:t>
            </w:r>
            <w:r>
              <w:t xml:space="preserve"> </w:t>
            </w:r>
            <w:r>
              <w:t xml:space="preserve">для каждого объекта общественных обсуждений) направляются в установленный срок в письменной форме или в форме электронного документа в адрес Министерства рыбного хозяйства Камчатского края: 683040, Камчатский край, г. Петропавловск-Камчатский, пл. Ленина, д. 1, </w:t>
            </w:r>
            <w:r>
              <w:t>e-mail</w:t>
            </w:r>
            <w:r>
              <w:t xml:space="preserve">: </w:t>
            </w:r>
            <w:r>
              <w:t>f</w:t>
            </w:r>
            <w:r>
              <w:fldChar w:fldCharType="begin"/>
            </w:r>
            <w:r>
              <w:instrText>HYPERLINK "mailto:fish@kamgov.ru"</w:instrText>
            </w:r>
            <w:r>
              <w:fldChar w:fldCharType="separate"/>
            </w:r>
            <w:r>
              <w:t>ish@kamgov.ru</w:t>
            </w:r>
            <w:r>
              <w:fldChar w:fldCharType="end"/>
            </w:r>
            <w:r>
              <w:t>, а также посредством записи в журнале при очном ознакомлении, с указанием следующих сведений:</w:t>
            </w:r>
          </w:p>
          <w:p w14:paraId="3C000000">
            <w:pPr>
              <w:ind/>
              <w:jc w:val="both"/>
            </w:pPr>
            <w:r>
              <w:t>- для физических лиц – фамилии, имени, отчества (при наличии), даты рождения, адреса места жительства (регистрации), телефона, адреса электронной почты (при наличии);</w:t>
            </w:r>
          </w:p>
          <w:p w14:paraId="3D000000">
            <w:pPr>
              <w:numPr>
                <w:ilvl w:val="0"/>
                <w:numId w:val="2"/>
              </w:numPr>
              <w:ind w:firstLine="0" w:left="0"/>
              <w:jc w:val="both"/>
            </w:pPr>
            <w:r>
              <w:t>- для юридических лиц – полного и сокращенного (при наличии) наименования, ОГРН, адреса в пределах места нахождения, телефона, адреса электронной почты (при наличии), фамилии, имени, отчества (при наличии) участника общественных обсуждений, должности участника общественных обсуждений;</w:t>
            </w:r>
          </w:p>
          <w:p w14:paraId="3E000000">
            <w:pPr>
              <w:numPr>
                <w:ilvl w:val="0"/>
                <w:numId w:val="2"/>
              </w:numPr>
              <w:ind w:firstLine="0" w:left="0"/>
              <w:jc w:val="both"/>
            </w:pPr>
            <w:r>
              <w:t>- согласия на обработку персональных данных</w:t>
            </w:r>
          </w:p>
          <w:p w14:paraId="3F000000">
            <w:pPr>
              <w:numPr>
                <w:ilvl w:val="0"/>
                <w:numId w:val="2"/>
              </w:numPr>
              <w:ind w:firstLine="0" w:left="0"/>
              <w:jc w:val="both"/>
            </w:pPr>
            <w:r>
              <w:t>- согласия на участие в подписании протокола общественных обсуждений, способ направления и подписания протокола.</w:t>
            </w:r>
          </w:p>
        </w:tc>
      </w:tr>
    </w:tbl>
    <w:p w14:paraId="40000000"/>
    <w:sectPr>
      <w:footerReference r:id="rId1" w:type="default"/>
      <w:footerReference r:id="rId2" w:type="even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alloon Text"/>
    <w:basedOn w:val="Style_5"/>
    <w:link w:val="Style_14_ch"/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Обычный1"/>
    <w:link w:val="Style_15_ch"/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Просмотренная гиперссылка1"/>
    <w:link w:val="Style_18_ch"/>
    <w:rPr>
      <w:color w:val="954F72"/>
      <w:u w:val="single"/>
    </w:rPr>
  </w:style>
  <w:style w:styleId="Style_18_ch" w:type="character">
    <w:name w:val="Просмотренная гиперссылка1"/>
    <w:link w:val="Style_18"/>
    <w:rPr>
      <w:color w:val="954F72"/>
      <w:u w:val="single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" w:type="paragraph">
    <w:name w:val="Номер страницы1"/>
    <w:basedOn w:val="Style_12"/>
    <w:link w:val="Style_2_ch"/>
  </w:style>
  <w:style w:styleId="Style_2_ch" w:type="character">
    <w:name w:val="Номер страницы1"/>
    <w:basedOn w:val="Style_12_ch"/>
    <w:link w:val="Style_2"/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header"/>
    <w:basedOn w:val="Style_5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5_ch"/>
    <w:link w:val="Style_27"/>
  </w:style>
  <w:style w:styleId="Style_28" w:type="paragraph">
    <w:name w:val="Неразрешенное упоминание"/>
    <w:link w:val="Style_28_ch"/>
    <w:rPr>
      <w:color w:val="605E5C"/>
      <w:shd w:fill="E1DFDD" w:val="clear"/>
    </w:rPr>
  </w:style>
  <w:style w:styleId="Style_28_ch" w:type="character">
    <w:name w:val="Неразрешенное упоминание"/>
    <w:link w:val="Style_28"/>
    <w:rPr>
      <w:color w:val="605E5C"/>
      <w:shd w:fill="E1DFDD" w:val="clear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2025-03-18T03:22:11Z</dcterms:modified>
</cp:coreProperties>
</file>