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</w:rPr>
      </w:pPr>
      <w:r>
        <w:rPr>
          <w:b/>
        </w:rPr>
        <w:t>ОБЪЯВЛЕНИЕ</w:t>
      </w:r>
    </w:p>
    <w:p>
      <w:pPr>
        <w:pStyle w:val="Normal"/>
        <w:jc w:val="center"/>
        <w:rPr>
          <w:b/>
        </w:rPr>
      </w:pPr>
      <w:r>
        <w:rPr>
          <w:b/>
        </w:rPr>
        <w:t>о подготовке и заключении договоров пользования водными биологическими ресурсами, общий допустимый улов которых не устанавливается, в Камчатском крае на 202</w:t>
      </w:r>
      <w:r>
        <w:rPr>
          <w:b/>
        </w:rPr>
        <w:t>5</w:t>
      </w:r>
      <w:r>
        <w:rPr>
          <w:b/>
        </w:rPr>
        <w:t xml:space="preserve"> год</w:t>
      </w:r>
    </w:p>
    <w:p>
      <w:pPr>
        <w:pStyle w:val="Normal"/>
        <w:rPr/>
      </w:pPr>
      <w:r>
        <w:rPr/>
      </w:r>
    </w:p>
    <w:p>
      <w:pPr>
        <w:pStyle w:val="Normal"/>
        <w:ind w:firstLine="540"/>
        <w:jc w:val="both"/>
        <w:rPr/>
      </w:pPr>
      <w:r>
        <w:rPr/>
        <w:t>В целях реализации постановления Правительства Российской Федерации от 25.08.2008 № 643 «О подготовке и заключении договора пользования водными биологическими ресурсами, общий допустимый улов которых не устанавливается» в 202</w:t>
      </w:r>
      <w:r>
        <w:rPr>
          <w:lang w:val="en-US"/>
        </w:rPr>
        <w:t xml:space="preserve">5 </w:t>
      </w:r>
      <w:r>
        <w:rPr/>
        <w:t>году Министерство рыбного хозяйства Камчатского края принимает заявления от юридических лиц и индивидуальных предпринимателей для подготовки и заключения договоров пользования водными биологическими ресурсами внутренних вод Российской Федерации (за исключением внутренних морских вод Российской Федерации), общий допустимый улов которых не устанавливается (далее соответственно – договор, водные биоресурсы), для осуществления промышленного рыболовства.</w:t>
      </w:r>
    </w:p>
    <w:p>
      <w:pPr>
        <w:pStyle w:val="Normal"/>
        <w:ind w:firstLine="540"/>
        <w:jc w:val="both"/>
        <w:rPr>
          <w:rFonts w:eastAsia="Calibri" w:eastAsiaTheme="minorHAnsi"/>
          <w:i/>
          <w:i/>
          <w:color w:val="FF0000"/>
          <w:lang w:eastAsia="en-US"/>
        </w:rPr>
      </w:pPr>
      <w:r>
        <w:rPr/>
        <w:t>Необходимым условием заключения договора является заключенный юридическим лицом (индивидуальным предпринимателем)</w:t>
      </w:r>
      <w:r>
        <w:rPr>
          <w:rFonts w:eastAsia="Calibri" w:eastAsiaTheme="minorHAnsi"/>
          <w:lang w:eastAsia="en-US"/>
        </w:rPr>
        <w:t xml:space="preserve"> договор о предоставлении рыболовного участка для осуществления промышленного рыболовства. </w:t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center"/>
        <w:rPr/>
      </w:pPr>
      <w:r>
        <w:rPr>
          <w:b/>
        </w:rPr>
        <w:t>Перечень видов водных биоресурсов, общий допустимый улов которых не устанавливается, районы их добычи (вылова) и объемы возможного вылова, тонн</w:t>
      </w:r>
      <w:r>
        <w:rPr/>
        <w:t xml:space="preserve">                                                                                                                                                                 </w:t>
      </w:r>
    </w:p>
    <w:tbl>
      <w:tblPr>
        <w:tblStyle w:val="a4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888"/>
        <w:gridCol w:w="5858"/>
      </w:tblGrid>
      <w:tr>
        <w:trPr/>
        <w:tc>
          <w:tcPr>
            <w:tcW w:w="38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Виды водных биоресурсов</w:t>
            </w:r>
          </w:p>
        </w:tc>
        <w:tc>
          <w:tcPr>
            <w:tcW w:w="585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Внутренние водоемы Камчатского края</w:t>
            </w:r>
          </w:p>
        </w:tc>
      </w:tr>
      <w:tr>
        <w:trPr/>
        <w:tc>
          <w:tcPr>
            <w:tcW w:w="388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Сельдь тихоокеанская</w:t>
            </w:r>
          </w:p>
        </w:tc>
        <w:tc>
          <w:tcPr>
            <w:tcW w:w="585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109,5</w:t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Сроки добычи (вылова) водных биоресурсов определяются действующими правилами рыболовства для Дальневосточного рыбохозяйственного бассейна и приказами Минсельхоза России об установлении ограничений рыболовства.</w:t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Форма заявления о заключении договора утверждена приказом Минсельхоза России от 06.04.2020 № 178</w:t>
      </w:r>
      <w:r>
        <w:rPr>
          <w:color w:val="FF0000"/>
        </w:rPr>
        <w:t xml:space="preserve"> </w:t>
      </w:r>
      <w:r>
        <w:rPr/>
        <w:t>«Об утверждении формы заявления о заключении договора пользования водными биологическими ресурсами, общий допустимый улов которых не устанавливается».</w:t>
      </w:r>
      <w:bookmarkStart w:id="0" w:name="_GoBack"/>
      <w:bookmarkEnd w:id="0"/>
    </w:p>
    <w:p>
      <w:pPr>
        <w:pStyle w:val="Normal"/>
        <w:ind w:firstLine="540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p>
      <w:pPr>
        <w:pStyle w:val="Normal"/>
        <w:ind w:firstLine="540"/>
        <w:jc w:val="both"/>
        <w:rPr/>
      </w:pPr>
      <w:r>
        <w:rPr/>
        <w:t xml:space="preserve">Заявления принимаются в срок по 01 декабря 2025 года по адресу: пл. им. В.И. Ленина, 1, каб. 220, г. Петропавловск-Камчатский, 683000 лично, посредством почтовой связи, в форме электронного документа на адрес электронной почты </w:t>
      </w:r>
      <w:hyperlink r:id="rId2">
        <w:r>
          <w:rPr>
            <w:rStyle w:val="Hyperlink"/>
          </w:rPr>
          <w:t>fish@kamgov.ru</w:t>
        </w:r>
      </w:hyperlink>
      <w:r>
        <w:rPr/>
        <w:t xml:space="preserve"> или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>
      <w:pPr>
        <w:pStyle w:val="Normal"/>
        <w:ind w:firstLine="540"/>
        <w:jc w:val="both"/>
        <w:rPr/>
      </w:pPr>
      <w:r>
        <w:rPr/>
        <w:t>Телефон для справок: +7 (4152) 42-10-37 (доб. 2221).</w:t>
      </w:r>
    </w:p>
    <w:p>
      <w:pPr>
        <w:pStyle w:val="Normal"/>
        <w:suppressAutoHyphens w:val="true"/>
        <w:spacing w:lineRule="atLeast" w:line="100" w:before="360" w:after="240"/>
        <w:jc w:val="center"/>
        <w:rPr/>
      </w:pPr>
      <w:r>
        <w:rPr/>
      </w:r>
    </w:p>
    <w:p>
      <w:pPr>
        <w:pStyle w:val="Normal"/>
        <w:suppressAutoHyphens w:val="true"/>
        <w:spacing w:lineRule="atLeast" w:line="100" w:before="360" w:after="240"/>
        <w:jc w:val="center"/>
        <w:rPr/>
      </w:pPr>
      <w:r>
        <w:rPr/>
      </w:r>
    </w:p>
    <w:p>
      <w:pPr>
        <w:pStyle w:val="Normal"/>
        <w:suppressAutoHyphens w:val="true"/>
        <w:spacing w:lineRule="atLeast" w:line="100" w:before="360" w:after="240"/>
        <w:jc w:val="center"/>
        <w:rPr/>
      </w:pPr>
      <w:r>
        <w:rPr/>
      </w:r>
    </w:p>
    <w:p>
      <w:pPr>
        <w:pStyle w:val="Normal"/>
        <w:suppressAutoHyphens w:val="true"/>
        <w:spacing w:lineRule="atLeast" w:line="100"/>
        <w:ind w:hanging="0" w:left="7230"/>
        <w:rPr/>
      </w:pPr>
      <w:r>
        <w:rPr/>
      </w:r>
    </w:p>
    <w:sectPr>
      <w:type w:val="nextPage"/>
      <w:pgSz w:w="11906" w:h="16838"/>
      <w:pgMar w:left="1701" w:right="68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731a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d83fad"/>
    <w:rPr>
      <w:rFonts w:ascii="Tahoma" w:hAnsi="Tahoma" w:eastAsia="Times New Roman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unhideWhenUsed/>
    <w:rsid w:val="00b5638a"/>
    <w:rPr>
      <w:color w:themeColor="hyperlink" w:val="0000FF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Style17" w:customStyle="1">
    <w:name w:val="Знак Знак Знак Знак Знак Знак Знак Знак Знак Знак Знак Знак Знак Знак Знак Знак Знак Знак"/>
    <w:basedOn w:val="Normal"/>
    <w:qFormat/>
    <w:rsid w:val="006731a6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1" w:customStyle="1">
    <w:name w:val="Обычный1"/>
    <w:qFormat/>
    <w:rsid w:val="006731a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d83fad"/>
    <w:pPr/>
    <w:rPr>
      <w:rFonts w:ascii="Tahoma" w:hAnsi="Tahoma" w:cs="Tahoma"/>
      <w:sz w:val="16"/>
      <w:szCs w:val="16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6731a6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fish@kamgov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Application>LibreOffice/24.2.7.2$Windows_X86_64 LibreOffice_project/ee3885777aa7032db5a9b65deec9457448a91162</Application>
  <AppVersion>15.0000</AppVersion>
  <Pages>1</Pages>
  <Words>254</Words>
  <Characters>1924</Characters>
  <CharactersWithSpaces>2328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2019-12-09T04:21:00Z</dcterms:created>
  <dc:creator>Лашина Екатерина Сергеевна</dc:creator>
  <dc:description/>
  <dc:language>ru-RU</dc:language>
  <cp:lastModifiedBy/>
  <cp:lastPrinted>2019-01-10T04:56:00Z</cp:lastPrinted>
  <dcterms:modified xsi:type="dcterms:W3CDTF">2024-11-19T11:33:30Z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